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jc w:val="center"/>
        <w:rPr>
          <w:rFonts w:hint="eastAsia" w:eastAsia="方正小标宋_GBK"/>
          <w:b w:val="0"/>
          <w:bCs w:val="0"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方正小标宋_GBK"/>
          <w:b w:val="0"/>
          <w:bCs w:val="0"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重庆文化艺术职业学院</w:t>
      </w:r>
    </w:p>
    <w:p>
      <w:pPr>
        <w:spacing w:line="600" w:lineRule="exact"/>
        <w:jc w:val="center"/>
        <w:rPr>
          <w:rFonts w:hint="eastAsia" w:eastAsia="方正小标宋_GBK"/>
          <w:b w:val="0"/>
          <w:bCs w:val="0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方正小标宋_GBK" w:cs="Times New Roman"/>
          <w:b w:val="0"/>
          <w:bCs w:val="0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关于征集201</w:t>
      </w:r>
      <w:r>
        <w:rPr>
          <w:rFonts w:hint="eastAsia" w:ascii="Times New Roman" w:hAnsi="Times New Roman" w:eastAsia="方正小标宋_GBK" w:cs="Times New Roman"/>
          <w:b w:val="0"/>
          <w:bCs w:val="0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Times New Roman" w:hAnsi="Times New Roman" w:eastAsia="方正小标宋_GBK" w:cs="Times New Roman"/>
          <w:b w:val="0"/>
          <w:bCs w:val="0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年度</w:t>
      </w:r>
      <w:r>
        <w:rPr>
          <w:rFonts w:hint="eastAsia" w:ascii="Times New Roman" w:hAnsi="Times New Roman" w:eastAsia="方正小标宋_GBK" w:cs="Times New Roman"/>
          <w:b w:val="0"/>
          <w:bCs w:val="0"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院级</w:t>
      </w:r>
      <w:r>
        <w:rPr>
          <w:rFonts w:hint="eastAsia" w:eastAsia="方正小标宋_GBK"/>
          <w:b w:val="0"/>
          <w:bCs w:val="0"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</w:t>
      </w:r>
      <w:r>
        <w:rPr>
          <w:rFonts w:eastAsia="方正小标宋_GBK"/>
          <w:b w:val="0"/>
          <w:bCs w:val="0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选题的通知</w:t>
      </w:r>
    </w:p>
    <w:p>
      <w:pPr>
        <w:spacing w:line="600" w:lineRule="exact"/>
        <w:jc w:val="center"/>
        <w:rPr>
          <w:rFonts w:hint="eastAsia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570" w:lineRule="exact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各系、各部门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:</w:t>
      </w:r>
    </w:p>
    <w:p>
      <w:pPr>
        <w:pStyle w:val="3"/>
        <w:snapToGrid w:val="0"/>
        <w:spacing w:line="570" w:lineRule="exact"/>
        <w:ind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为进一步做好我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院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年度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院级项目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《课题指南》的调研及制定工作，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切实加强我院科研工作，提高教师科研水平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科研处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从即日起公开征集201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年度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院级科研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项目建议选题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现将有关事项通知如下：</w:t>
      </w:r>
    </w:p>
    <w:p>
      <w:pPr>
        <w:widowControl/>
        <w:spacing w:line="570" w:lineRule="exact"/>
        <w:ind w:firstLine="640" w:firstLineChars="200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一、指导思想</w:t>
      </w:r>
    </w:p>
    <w:p>
      <w:pPr>
        <w:snapToGrid w:val="0"/>
        <w:spacing w:line="570" w:lineRule="exact"/>
        <w:ind w:firstLine="640" w:firstLineChars="200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各类选题的拟定要坚持正确的政治方向，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贯彻党的</w:t>
      </w:r>
      <w:r>
        <w:rPr>
          <w:rFonts w:hint="eastAsia" w:ascii="仿宋_GB2312" w:hAnsi="宋体" w:eastAsia="仿宋_GB2312"/>
          <w:bCs/>
          <w:sz w:val="32"/>
          <w:szCs w:val="32"/>
        </w:rPr>
        <w:t>十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/>
          <w:bCs/>
          <w:sz w:val="32"/>
          <w:szCs w:val="32"/>
        </w:rPr>
        <w:t>大精神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和新时代中国特色社会主义思想</w:t>
      </w:r>
      <w:r>
        <w:rPr>
          <w:rFonts w:hint="eastAsia" w:ascii="仿宋_GB2312" w:hAnsi="宋体" w:eastAsia="仿宋_GB2312"/>
          <w:bCs/>
          <w:sz w:val="32"/>
          <w:szCs w:val="32"/>
        </w:rPr>
        <w:t>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适应</w:t>
      </w:r>
      <w:r>
        <w:rPr>
          <w:rFonts w:hint="eastAsia" w:ascii="仿宋_GB2312" w:hAnsi="宋体" w:eastAsia="仿宋_GB2312"/>
          <w:bCs/>
          <w:sz w:val="32"/>
          <w:szCs w:val="32"/>
        </w:rPr>
        <w:t>现代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艺术</w:t>
      </w:r>
      <w:r>
        <w:rPr>
          <w:rFonts w:hint="eastAsia" w:ascii="仿宋_GB2312" w:hAnsi="宋体" w:eastAsia="仿宋_GB2312"/>
          <w:bCs/>
          <w:sz w:val="32"/>
          <w:szCs w:val="32"/>
        </w:rPr>
        <w:t>职业教育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发展新形势、新任务、新问题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，切实遵循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艺术职业教育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文化艺术创作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规律，为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学院发展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提供智力支持。</w:t>
      </w:r>
    </w:p>
    <w:p>
      <w:pPr>
        <w:snapToGrid w:val="0"/>
        <w:spacing w:line="570" w:lineRule="exact"/>
        <w:ind w:firstLine="800" w:firstLineChars="250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二、内容要求</w:t>
      </w:r>
    </w:p>
    <w:p>
      <w:pPr>
        <w:pStyle w:val="3"/>
        <w:spacing w:line="570" w:lineRule="exact"/>
        <w:ind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（一）选题的拟定要紧紧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围绕我院发展实际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围绕教育教学、人才培养工作（专业建设、课程建设、教学资源建设、艺术创作、创新创业）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同时，还可以结合本部门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工作需要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及相关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重点、难点问题，提出建议选题。</w:t>
      </w:r>
    </w:p>
    <w:p>
      <w:pPr>
        <w:pStyle w:val="3"/>
        <w:spacing w:line="570" w:lineRule="exact"/>
        <w:ind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（二）建议选题的类别应主要为应用对策类，选题要具有现实性、针对性和前瞻性；基础理论类选题要立足学术前沿，力求具有原创性和开拓性。指南条目应体现明确的研究方向和突出重点、注重应用原则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以有利于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科研项目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服务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我院实际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发展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的需求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3"/>
        <w:spacing w:line="570" w:lineRule="exact"/>
        <w:ind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三、评审程序</w:t>
      </w:r>
    </w:p>
    <w:p>
      <w:pPr>
        <w:pStyle w:val="3"/>
        <w:spacing w:line="570" w:lineRule="exact"/>
        <w:ind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学院科研处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将组织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学术委员会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评审组专家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及校外相关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领域专家学者对征集到的选题进行评议。根据评议结果，遴选部分选题列入201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年度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重庆文化艺术职业学院院级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项目《课题指南》。</w:t>
      </w:r>
    </w:p>
    <w:p>
      <w:pPr>
        <w:pStyle w:val="3"/>
        <w:spacing w:line="570" w:lineRule="exact"/>
        <w:ind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四、报送要求</w:t>
      </w:r>
    </w:p>
    <w:p>
      <w:pPr>
        <w:pStyle w:val="3"/>
        <w:spacing w:line="570" w:lineRule="exact"/>
        <w:ind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请各单位于201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日前将《建议选题推荐表》和《建议选题汇总表》电子版发送至指定电子信箱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576992207@qq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.com，邮件主题标注“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部门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名称—选题征集”字样，同时将加盖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部门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公章的纸质版（各一份）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交送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至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科研处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部门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报送建议选题数量一般不超过5个，并明确先后排序。</w:t>
      </w:r>
    </w:p>
    <w:p>
      <w:pPr>
        <w:pStyle w:val="3"/>
        <w:spacing w:line="570" w:lineRule="exact"/>
        <w:ind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附件：1. 201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年度重庆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文化艺术职业学院院级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项目建议选题推荐表</w:t>
      </w:r>
    </w:p>
    <w:p>
      <w:pPr>
        <w:spacing w:line="520" w:lineRule="exact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附件：2. 201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年度重庆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重庆文化艺术职业学院院级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项目建议选题汇总表</w:t>
      </w:r>
    </w:p>
    <w:p>
      <w:pPr>
        <w:spacing w:line="560" w:lineRule="exact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60" w:lineRule="exact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重庆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文化艺术职业学院学术委员会、科研处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                     201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spacing w:line="560" w:lineRule="exact"/>
        <w:rPr>
          <w:rFonts w:eastAsia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60" w:lineRule="exact"/>
        <w:rPr>
          <w:rFonts w:eastAsia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60" w:lineRule="exact"/>
        <w:rPr>
          <w:rFonts w:eastAsia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60" w:lineRule="exact"/>
        <w:rPr>
          <w:rFonts w:eastAsia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60" w:lineRule="exact"/>
        <w:rPr>
          <w:rFonts w:eastAsia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60" w:lineRule="exact"/>
        <w:rPr>
          <w:rFonts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eastAsia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eastAsia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2018年度重庆文化艺术职业学院院级项目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建议选题推荐表</w:t>
      </w:r>
    </w:p>
    <w:p>
      <w:pPr>
        <w:spacing w:line="440" w:lineRule="atLeast"/>
        <w:jc w:val="center"/>
        <w:rPr>
          <w:rFonts w:hint="eastAsia" w:eastAsiaTheme="minorEastAsia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</w:t>
      </w:r>
      <w:r>
        <w:rPr>
          <w:rFonts w:hint="eastAsia" w:eastAsia="仿宋_GB2312"/>
          <w:b w:val="0"/>
          <w:bCs w:val="0"/>
          <w:color w:val="0D0D0D" w:themeColor="text1" w:themeTint="F2"/>
          <w:sz w:val="24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填表时间： </w:t>
      </w:r>
      <w:r>
        <w:rPr>
          <w:rFonts w:hint="eastAsia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</w:t>
      </w:r>
    </w:p>
    <w:tbl>
      <w:tblPr>
        <w:tblStyle w:val="6"/>
        <w:tblW w:w="8388" w:type="dxa"/>
        <w:jc w:val="center"/>
        <w:tblInd w:w="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261"/>
        <w:gridCol w:w="1306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  <w:jc w:val="center"/>
        </w:trPr>
        <w:tc>
          <w:tcPr>
            <w:tcW w:w="1908" w:type="dxa"/>
            <w:vAlign w:val="center"/>
          </w:tcPr>
          <w:p>
            <w:pPr>
              <w:ind w:firstLine="280" w:firstLineChars="100"/>
              <w:rPr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选题名称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rPr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8" w:type="dxa"/>
            <w:vAlign w:val="center"/>
          </w:tcPr>
          <w:p>
            <w:pPr>
              <w:ind w:firstLine="280" w:firstLineChars="100"/>
              <w:rPr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推荐</w:t>
            </w:r>
            <w:r>
              <w:rPr>
                <w:rFonts w:hint="eastAsia"/>
                <w:b w:val="0"/>
                <w:bCs w:val="0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部门</w:t>
            </w:r>
          </w:p>
        </w:tc>
        <w:tc>
          <w:tcPr>
            <w:tcW w:w="3261" w:type="dxa"/>
            <w:vAlign w:val="center"/>
          </w:tcPr>
          <w:p>
            <w:pPr>
              <w:rPr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ind w:firstLine="134" w:firstLineChars="48"/>
              <w:rPr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推荐人</w:t>
            </w:r>
          </w:p>
        </w:tc>
        <w:tc>
          <w:tcPr>
            <w:tcW w:w="1913" w:type="dxa"/>
            <w:vAlign w:val="center"/>
          </w:tcPr>
          <w:p>
            <w:pPr>
              <w:rPr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8" w:hRule="atLeast"/>
          <w:jc w:val="center"/>
        </w:trPr>
        <w:tc>
          <w:tcPr>
            <w:tcW w:w="8388" w:type="dxa"/>
            <w:gridSpan w:val="4"/>
            <w:vAlign w:val="top"/>
          </w:tcPr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选题价值和意义，主要内容（500字左右，可另附页）</w:t>
            </w: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hint="eastAsia" w:eastAsia="仿宋_GB2312"/>
                <w:b w:val="0"/>
                <w:bCs w:val="0"/>
                <w:color w:val="0D0D0D" w:themeColor="text1" w:themeTint="F2"/>
                <w:sz w:val="24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rPr>
          <w:b w:val="0"/>
          <w:bCs w:val="0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361" w:bottom="1814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both"/>
        <w:rPr>
          <w:rFonts w:ascii="宋体" w:hAnsi="宋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eastAsia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eastAsia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重庆文化艺术职业学院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年度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院级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项目建议选题汇总表</w:t>
      </w:r>
    </w:p>
    <w:p>
      <w:pPr>
        <w:rPr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eastAsia="仿宋_GB2312"/>
          <w:b w:val="0"/>
          <w:bCs w:val="0"/>
          <w:color w:val="0D0D0D" w:themeColor="text1" w:themeTint="F2"/>
          <w:sz w:val="24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eastAsiaTheme="minorEastAsia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_GB2312"/>
          <w:b w:val="0"/>
          <w:bCs w:val="0"/>
          <w:color w:val="0D0D0D" w:themeColor="text1" w:themeTint="F2"/>
          <w:sz w:val="24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部门：</w:t>
      </w:r>
      <w:r>
        <w:rPr>
          <w:rFonts w:hint="eastAsia" w:eastAsia="仿宋_GB2312"/>
          <w:b w:val="0"/>
          <w:bCs w:val="0"/>
          <w:color w:val="0D0D0D" w:themeColor="text1" w:themeTint="F2"/>
          <w:sz w:val="24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负责人：                     填表人：   </w:t>
      </w:r>
      <w:r>
        <w:rPr>
          <w:rFonts w:hint="eastAsia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</w:t>
      </w:r>
      <w:r>
        <w:rPr>
          <w:rFonts w:hint="eastAsia" w:eastAsia="仿宋_GB2312"/>
          <w:b w:val="0"/>
          <w:bCs w:val="0"/>
          <w:color w:val="0D0D0D" w:themeColor="text1" w:themeTint="F2"/>
          <w:sz w:val="24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填表时间：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523"/>
        <w:gridCol w:w="1857"/>
        <w:gridCol w:w="2874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Ansi="宋体"/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5523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Ansi="宋体"/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选题名称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Ansi="宋体"/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推荐人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Ansi="宋体"/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推荐</w:t>
            </w:r>
            <w:r>
              <w:rPr>
                <w:rFonts w:hint="eastAsia" w:hAnsi="宋体"/>
                <w:b w:val="0"/>
                <w:bCs w:val="0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部门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Ansi="宋体"/>
                <w:b w:val="0"/>
                <w:b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23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23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23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23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23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23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b w:val="0"/>
                <w:bCs w:val="0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570" w:lineRule="exact"/>
        <w:rPr>
          <w:rFonts w:hint="eastAsia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</w:t>
      </w:r>
    </w:p>
    <w:p>
      <w:pPr>
        <w:spacing w:line="570" w:lineRule="exact"/>
        <w:rPr>
          <w:rFonts w:hint="eastAsia"/>
          <w:b w:val="0"/>
          <w:bCs w:val="0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b w:val="0"/>
          <w:bCs w:val="0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5" w:type="default"/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- 5 -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- 4 -</w: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67482"/>
    <w:rsid w:val="082F3CDE"/>
    <w:rsid w:val="118D50F8"/>
    <w:rsid w:val="1263574E"/>
    <w:rsid w:val="197510F1"/>
    <w:rsid w:val="1EA51926"/>
    <w:rsid w:val="1FD67482"/>
    <w:rsid w:val="2AD210F1"/>
    <w:rsid w:val="33954CC3"/>
    <w:rsid w:val="34F4109D"/>
    <w:rsid w:val="39E973D6"/>
    <w:rsid w:val="3D643899"/>
    <w:rsid w:val="45F355A9"/>
    <w:rsid w:val="460B0EEF"/>
    <w:rsid w:val="46B32076"/>
    <w:rsid w:val="4DA91A8A"/>
    <w:rsid w:val="764A5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inherit" w:hAnsi="inherit" w:cs="宋体"/>
      <w:kern w:val="0"/>
      <w:sz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2017-03-17T01:56:00Z</dcterms:created>
  <dc:creator>Administrator</dc:creator>
  <cp:lastModifiedBy>Administrator</cp:lastModifiedBy>
  <dcterms:modified xsi:type="dcterms:W3CDTF">2018-04-02T02:35:54Z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